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5F7CE" w14:textId="61B2A27F" w:rsidR="008C4D92" w:rsidRPr="00504AFD" w:rsidRDefault="00994A23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132F0" wp14:editId="4F4AB1EF">
                <wp:simplePos x="0" y="0"/>
                <wp:positionH relativeFrom="page">
                  <wp:posOffset>184150</wp:posOffset>
                </wp:positionH>
                <wp:positionV relativeFrom="paragraph">
                  <wp:posOffset>304800</wp:posOffset>
                </wp:positionV>
                <wp:extent cx="7185660" cy="117000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462300" w14:textId="10390097" w:rsidR="00781CCF" w:rsidRPr="00994A2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</w:pPr>
                            <w:r w:rsidRPr="00994A2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RGS</w:t>
                            </w:r>
                            <w:r w:rsidR="00423E78" w:rsidRPr="00994A2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8</w:t>
                            </w:r>
                            <w:r w:rsidRPr="00994A2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F</w:t>
                            </w:r>
                            <w:r w:rsidR="006413BA" w:rsidRPr="00994A2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T</w:t>
                            </w:r>
                            <w:r w:rsidR="00423E78" w:rsidRPr="00994A2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AB</w:t>
                            </w:r>
                            <w:r w:rsidR="006413BA" w:rsidRPr="00994A2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/EN</w:t>
                            </w:r>
                            <w:r w:rsidR="009423D9" w:rsidRPr="00994A23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38"/>
                                <w:szCs w:val="56"/>
                                <w:lang w:val="fr-FR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32F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4.5pt;margin-top:24pt;width:565.8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" fillcolor="white [3201]" strokecolor="white [3212]" strokeweight=".5pt">
                <v:textbox>
                  <w:txbxContent>
                    <w:p w14:paraId="5F462300" w14:textId="10390097" w:rsidR="00781CCF" w:rsidRPr="00994A2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</w:pPr>
                      <w:r w:rsidRPr="00994A2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RGS</w:t>
                      </w:r>
                      <w:r w:rsidR="00423E78" w:rsidRPr="00994A2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8</w:t>
                      </w:r>
                      <w:r w:rsidRPr="00994A2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F</w:t>
                      </w:r>
                      <w:r w:rsidR="006413BA" w:rsidRPr="00994A2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T</w:t>
                      </w:r>
                      <w:r w:rsidR="00423E78" w:rsidRPr="00994A2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AB</w:t>
                      </w:r>
                      <w:r w:rsidR="006413BA" w:rsidRPr="00994A2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/EN</w:t>
                      </w:r>
                      <w:r w:rsidR="009423D9" w:rsidRPr="00994A23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38"/>
                          <w:szCs w:val="56"/>
                          <w:lang w:val="fr-FR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105E2B" w14:textId="0A044AB4" w:rsidR="002C6DEF" w:rsidRDefault="002C6DEF" w:rsidP="008C4D92">
      <w:pPr>
        <w:pStyle w:val="StandardWeb"/>
        <w:spacing w:after="0"/>
        <w:jc w:val="center"/>
      </w:pPr>
    </w:p>
    <w:p w14:paraId="3EF98AA3" w14:textId="0A6F3147" w:rsidR="00B851AF" w:rsidRDefault="00B851AF" w:rsidP="008C4D92">
      <w:pPr>
        <w:pStyle w:val="StandardWeb"/>
        <w:spacing w:after="0"/>
        <w:jc w:val="center"/>
      </w:pPr>
    </w:p>
    <w:p w14:paraId="0648622A" w14:textId="77777777" w:rsidR="002C6DEF" w:rsidRDefault="002C6DEF" w:rsidP="008C4D92">
      <w:pPr>
        <w:pStyle w:val="StandardWeb"/>
        <w:spacing w:after="0"/>
        <w:jc w:val="center"/>
      </w:pPr>
    </w:p>
    <w:p w14:paraId="21EA9BA8" w14:textId="77777777" w:rsidR="00C74935" w:rsidRDefault="00C74935" w:rsidP="008C4D92">
      <w:pPr>
        <w:pStyle w:val="StandardWeb"/>
        <w:spacing w:after="0"/>
        <w:jc w:val="center"/>
      </w:pPr>
    </w:p>
    <w:p w14:paraId="4C4F7393" w14:textId="0367D653" w:rsidR="00D96B92" w:rsidRPr="00423E78" w:rsidRDefault="00423E78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A/B </w:t>
      </w:r>
      <w:r w:rsidR="00973483" w:rsidRPr="00423E78">
        <w:rPr>
          <w:rFonts w:ascii="FuturaA Bk BT;Century Gothic" w:hAnsi="FuturaA Bk BT;Century Gothic"/>
          <w:color w:val="70378F"/>
          <w:sz w:val="32"/>
          <w:szCs w:val="32"/>
          <w:lang w:val="de-DE"/>
        </w:rPr>
        <w:t>Bajonett-Deckeneinbaulautsprecher</w:t>
      </w:r>
      <w:r w:rsidR="006413BA" w:rsidRPr="00423E78">
        <w:rPr>
          <w:rFonts w:ascii="FuturaA Bk BT;Century Gothic" w:hAnsi="FuturaA Bk BT;Century Gothic"/>
          <w:color w:val="70378F"/>
          <w:sz w:val="32"/>
          <w:szCs w:val="32"/>
          <w:lang w:val="de-DE"/>
        </w:rPr>
        <w:t>, rund, Metall</w:t>
      </w:r>
      <w:r w:rsidR="00973483" w:rsidRPr="00423E78"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 mit Feuertopf</w:t>
      </w:r>
      <w:r w:rsidR="00C74935" w:rsidRPr="00423E78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423E78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0EAFFBC7" w14:textId="77777777" w:rsidR="00423E78" w:rsidRDefault="00423E78" w:rsidP="00423E78">
      <w:pPr>
        <w:pStyle w:val="Inhaltsverzeichnisberschrift"/>
        <w:spacing w:before="0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01AFB860" w14:textId="25971DB2" w:rsidR="006413BA" w:rsidRDefault="00423E78" w:rsidP="00423E78">
      <w:pPr>
        <w:pStyle w:val="Inhaltsverzeichnisberschrift"/>
        <w:spacing w:before="0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D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 formschöne</w:t>
      </w:r>
      <w:r w:rsidR="007612D1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A/B Deckenl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autsprecher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besteht aus Metall, ist hocheffizient und enthält zwei voneinander unabhängige 3,5“</w:t>
      </w:r>
      <w:r w:rsidR="007612D1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Lautsprechertreiber mit 2x6W Transformator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en sowie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2x Keramik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klemme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2x Thermosicherung</w:t>
      </w:r>
      <w:r w:rsidR="009423D9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und 2x Kondensatoren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. Alle Lautsprechervarianten enthalten einen Feuertopf aus Metall. Diese Baureihe verfügt über ein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optimales 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Montagesystem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, bewährt als Bajonett-System.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3 Federklemmen mit verkürzten Beinfedern, erhöhter Klemmkraft und verkürztem Zugabstand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ermöglichen eine schnelle und einfache Montage. Sie sorgen für einen perfekten Halt in der festen Decke</w:t>
      </w:r>
      <w:r w:rsidRPr="00423E78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Das Gitter kann von der Vorderseite entnommen werden.</w:t>
      </w:r>
    </w:p>
    <w:p w14:paraId="423F92CD" w14:textId="77777777" w:rsidR="00423E78" w:rsidRDefault="00423E78" w:rsidP="00423E78">
      <w:pPr>
        <w:rPr>
          <w:lang w:val="de-DE"/>
        </w:rPr>
      </w:pPr>
    </w:p>
    <w:p w14:paraId="2B211F4D" w14:textId="77777777" w:rsidR="00423E78" w:rsidRDefault="00423E78" w:rsidP="00423E78">
      <w:pPr>
        <w:rPr>
          <w:rFonts w:ascii="Arial" w:hAnsi="Arial" w:cs="Arial"/>
          <w:sz w:val="20"/>
          <w:szCs w:val="18"/>
          <w:lang w:val="de-DE"/>
        </w:rPr>
      </w:pPr>
      <w:r w:rsidRPr="00423E78">
        <w:rPr>
          <w:rFonts w:ascii="Arial" w:hAnsi="Arial" w:cs="Arial"/>
          <w:sz w:val="20"/>
          <w:szCs w:val="18"/>
          <w:lang w:val="de-DE"/>
        </w:rPr>
        <w:t>Auf Wunsch kann der Lautsprecher in anderen Farben gem. RAL-4-stellig gegen Aufpreis geliefert werden.</w:t>
      </w:r>
    </w:p>
    <w:p w14:paraId="1ECEE86E" w14:textId="77777777" w:rsidR="00423E78" w:rsidRPr="00423E78" w:rsidRDefault="00423E78" w:rsidP="00423E78">
      <w:pPr>
        <w:rPr>
          <w:rFonts w:ascii="Arial" w:hAnsi="Arial" w:cs="Arial"/>
          <w:sz w:val="20"/>
          <w:szCs w:val="18"/>
          <w:lang w:val="de-DE"/>
        </w:rPr>
      </w:pPr>
    </w:p>
    <w:p w14:paraId="052C74C2" w14:textId="6DA129FF" w:rsidR="006413BA" w:rsidRDefault="00973483" w:rsidP="007612D1">
      <w:pPr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423E78">
        <w:rPr>
          <w:rFonts w:ascii="Arial" w:hAnsi="Arial" w:cs="Arial"/>
          <w:color w:val="000000" w:themeColor="text1"/>
          <w:sz w:val="20"/>
          <w:szCs w:val="20"/>
          <w:lang w:val="de-DE"/>
        </w:rPr>
        <w:t>Gemäß dem British Standard 5839 Teil 8, enthält er einen Stahlfeuertopf, keramische Anschlussklemme</w:t>
      </w:r>
      <w:r w:rsidR="007612D1">
        <w:rPr>
          <w:rFonts w:ascii="Arial" w:hAnsi="Arial" w:cs="Arial"/>
          <w:color w:val="000000" w:themeColor="text1"/>
          <w:sz w:val="20"/>
          <w:szCs w:val="20"/>
          <w:lang w:val="de-DE"/>
        </w:rPr>
        <w:t>n</w:t>
      </w:r>
      <w:r w:rsidRPr="00423E78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thermische Sicherung</w:t>
      </w:r>
      <w:r w:rsidR="007612D1">
        <w:rPr>
          <w:rFonts w:ascii="Arial" w:hAnsi="Arial" w:cs="Arial"/>
          <w:color w:val="000000" w:themeColor="text1"/>
          <w:sz w:val="20"/>
          <w:szCs w:val="20"/>
          <w:lang w:val="de-DE"/>
        </w:rPr>
        <w:t>en</w:t>
      </w:r>
      <w:r w:rsidR="009423D9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und Kondensatoren</w:t>
      </w:r>
      <w:r w:rsidRPr="00423E78">
        <w:rPr>
          <w:rFonts w:ascii="Arial" w:hAnsi="Arial" w:cs="Arial"/>
          <w:color w:val="000000" w:themeColor="text1"/>
          <w:sz w:val="20"/>
          <w:szCs w:val="20"/>
          <w:lang w:val="de-DE"/>
        </w:rPr>
        <w:t>.</w:t>
      </w:r>
      <w:r w:rsidRPr="00423E78">
        <w:rPr>
          <w:rFonts w:ascii="Arial" w:hAnsi="Arial" w:cs="Arial"/>
          <w:color w:val="000000" w:themeColor="text1"/>
          <w:sz w:val="20"/>
          <w:szCs w:val="20"/>
          <w:lang w:val="de-DE"/>
        </w:rPr>
        <w:br/>
        <w:t>Durch die Zertifizierung nach EN54-24 kann er in Verbindung mit Sprachalarmanlagen (SAA) nach VDE 0833 – Teil 4 eingesetzt werden.</w:t>
      </w:r>
    </w:p>
    <w:p w14:paraId="2ADAC100" w14:textId="77777777" w:rsidR="00994A23" w:rsidRDefault="00994A23" w:rsidP="007612D1">
      <w:pPr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342D0F89" w14:textId="77777777" w:rsidR="00994A23" w:rsidRPr="00973483" w:rsidRDefault="00994A23" w:rsidP="007612D1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B40BAA4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9"/>
              <w:footerReference w:type="default" r:id="rId10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1D44EABD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lastRenderedPageBreak/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77EE213C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4DE79015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57DED1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AFC58CD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DA58EC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78F46C7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E9B0F44" w14:textId="28BE00BE" w:rsidR="00786B47" w:rsidRPr="00C11CB6" w:rsidRDefault="00B7104D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B7104D">
                  <w:rPr>
                    <w:rFonts w:ascii="Arial" w:hAnsi="Arial" w:cs="Arial"/>
                    <w:sz w:val="18"/>
                    <w:szCs w:val="18"/>
                  </w:rPr>
                  <w:t>0905-CPR-</w:t>
                </w:r>
                <w:r w:rsidR="007612D1">
                  <w:rPr>
                    <w:rFonts w:ascii="Arial" w:hAnsi="Arial" w:cs="Arial"/>
                    <w:sz w:val="18"/>
                    <w:szCs w:val="18"/>
                  </w:rPr>
                  <w:t>00636</w:t>
                </w:r>
              </w:p>
            </w:tc>
          </w:tr>
          <w:tr w:rsidR="00C11CB6" w:rsidRPr="001A6B46" w14:paraId="089E55F4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363316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1F6BE0D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8D8DE5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D54390C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31D5F2B" w14:textId="3FA1CF3B" w:rsidR="00786B47" w:rsidRPr="0038546D" w:rsidRDefault="007612D1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022F9EA3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2D6BB2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2D5767D" w14:textId="7B856A18" w:rsidR="00786B47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430ACC1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7E5853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B338890" w14:textId="2A5BF850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38E4E73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45392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AAF0F25" w14:textId="1F2517F4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2x (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)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6F480D5B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0861A1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3A3D5A5" w14:textId="336FB591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2x (</w:t>
                </w:r>
                <w:r w:rsidR="00C11CB6"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</w:tc>
          </w:tr>
          <w:tr w:rsidR="00C11CB6" w:rsidRPr="001A6B46" w14:paraId="02B94FC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A3543F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87DF1FD" w14:textId="7C32BAD3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.500</w:t>
                </w:r>
              </w:p>
            </w:tc>
          </w:tr>
          <w:tr w:rsidR="00C11CB6" w:rsidRPr="00E256BA" w14:paraId="0E41D3B8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A36491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F9F530D" w14:textId="3DA9FC81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E256BA" w14:paraId="29BE573D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E6403F4" w14:textId="77777777" w:rsidR="00C11CB6" w:rsidRPr="00423E78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423E78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DF84D68" w14:textId="0FA568C9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1A85CFAB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06258B7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9631E14" w14:textId="527E1772" w:rsidR="00C11CB6" w:rsidRPr="00C11CB6" w:rsidRDefault="0090608E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7612D1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</w:p>
            </w:tc>
          </w:tr>
          <w:tr w:rsidR="00C11CB6" w:rsidRPr="00E256BA" w14:paraId="78394BF0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A7C83E7" w14:textId="77777777" w:rsidR="00C11CB6" w:rsidRPr="00423E78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423E78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5DCF1E9" w14:textId="479BBB13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90</w:t>
                </w:r>
              </w:p>
            </w:tc>
          </w:tr>
          <w:tr w:rsidR="00C11CB6" w:rsidRPr="00E256BA" w14:paraId="7C19840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9231D4A" w14:textId="77777777" w:rsidR="00C11CB6" w:rsidRPr="00423E78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423E78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3277753" w14:textId="3EED9B15" w:rsidR="00C11CB6" w:rsidRPr="00C11CB6" w:rsidRDefault="007612D1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7612D1">
                  <w:rPr>
                    <w:rFonts w:ascii="Arial" w:hAnsi="Arial" w:cs="Arial"/>
                    <w:sz w:val="18"/>
                    <w:szCs w:val="18"/>
                  </w:rPr>
                  <w:t xml:space="preserve">147/66 Horizontal 151/73 </w:t>
                </w:r>
                <w:proofErr w:type="spellStart"/>
                <w:r w:rsidRPr="007612D1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0D1011E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9EA77A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2FC1DCD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5034CA9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C8A6E0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25ABF077" w14:textId="77777777" w:rsidR="00C11CB6" w:rsidRPr="00C11CB6" w:rsidRDefault="006413B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64F01F98" w14:textId="77777777" w:rsidTr="00C11CB6">
            <w:tc>
              <w:tcPr>
                <w:tcW w:w="5245" w:type="dxa"/>
                <w:vAlign w:val="center"/>
              </w:tcPr>
              <w:p w14:paraId="144DCA8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075F0FDC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717486E9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AF8FEA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4E5735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55D87CA4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E687FD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9FC79C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2245EA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F5D688F" w14:textId="77777777" w:rsid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  <w:p w14:paraId="6D328601" w14:textId="4D6618FC" w:rsidR="007612D1" w:rsidRPr="00C11CB6" w:rsidRDefault="007612D1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Deckenausschnitt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B435FB8" w14:textId="58D14F82" w:rsidR="00C11CB6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7612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7612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65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  <w:r w:rsidR="007612D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</w:p>
              <w:p w14:paraId="464BB9D1" w14:textId="5D973C72" w:rsidR="007612D1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238</w:t>
                </w:r>
              </w:p>
            </w:tc>
          </w:tr>
          <w:tr w:rsidR="00C11CB6" w:rsidRPr="00E256BA" w14:paraId="41AF79C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850947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65DA5D4" w14:textId="783274A1" w:rsidR="00C11CB6" w:rsidRPr="006413BA" w:rsidRDefault="007612D1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2,15</w:t>
                </w:r>
              </w:p>
            </w:tc>
          </w:tr>
          <w:tr w:rsidR="00C11CB6" w:rsidRPr="00E256BA" w14:paraId="4F8EB71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3DE9C6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E222915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26B7971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111AFA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E8BDD5B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</w:p>
            </w:tc>
          </w:tr>
          <w:tr w:rsidR="00C11CB6" w:rsidRPr="00E256BA" w14:paraId="01A1FA5E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C2B4B0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3EB36CB" w14:textId="77777777" w:rsidR="00C11CB6" w:rsidRPr="006413BA" w:rsidRDefault="0090608E" w:rsidP="009423D9">
                <w:pPr>
                  <w:pStyle w:val="Paragraphestandard"/>
                  <w:spacing w:line="240" w:lineRule="auto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Bajonettsystem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mit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3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Federn</w:t>
                </w:r>
                <w:proofErr w:type="spellEnd"/>
              </w:p>
            </w:tc>
          </w:tr>
          <w:tr w:rsidR="00C11CB6" w:rsidRPr="009423D9" w14:paraId="6AD68BB3" w14:textId="77777777" w:rsidTr="009423D9">
            <w:trPr>
              <w:trHeight w:val="1412"/>
            </w:trPr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E0E9BD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688028C" w14:textId="64FD5D2B" w:rsidR="00C11CB6" w:rsidRPr="009423D9" w:rsidRDefault="009423D9" w:rsidP="009423D9">
                <w:pPr>
                  <w:pStyle w:val="Paragraphestandard"/>
                  <w:spacing w:line="240" w:lineRule="auto"/>
                  <w:rPr>
                    <w:rFonts w:ascii="Arial" w:eastAsia="PMingLiU" w:hAnsi="Arial" w:cs="Arial"/>
                    <w:color w:val="auto"/>
                    <w:sz w:val="18"/>
                    <w:szCs w:val="18"/>
                    <w:lang w:val="de-DE"/>
                  </w:rPr>
                </w:pPr>
                <w:r w:rsidRPr="009423D9">
                  <w:rPr>
                    <w:rFonts w:ascii="Arial" w:eastAsia="PMingLiU" w:hAnsi="Arial" w:cs="Arial"/>
                    <w:color w:val="auto"/>
                    <w:sz w:val="18"/>
                    <w:szCs w:val="18"/>
                    <w:lang w:val="de-DE"/>
                  </w:rPr>
                  <w:t xml:space="preserve">2x </w:t>
                </w:r>
                <w:r w:rsidR="009C3D1B" w:rsidRPr="009423D9">
                  <w:rPr>
                    <w:rFonts w:ascii="Arial" w:eastAsia="PMingLiU" w:hAnsi="Arial" w:cs="Arial"/>
                    <w:color w:val="auto"/>
                    <w:sz w:val="18"/>
                    <w:szCs w:val="18"/>
                    <w:lang w:val="de-DE"/>
                  </w:rPr>
                  <w:t>Keramikklemme</w:t>
                </w:r>
                <w:r w:rsidR="007612D1" w:rsidRPr="009423D9">
                  <w:rPr>
                    <w:rFonts w:ascii="Arial" w:eastAsia="PMingLiU" w:hAnsi="Arial" w:cs="Arial"/>
                    <w:color w:val="auto"/>
                    <w:sz w:val="18"/>
                    <w:szCs w:val="18"/>
                    <w:lang w:val="de-DE"/>
                  </w:rPr>
                  <w:t xml:space="preserve">, </w:t>
                </w:r>
                <w:r w:rsidRPr="009423D9">
                  <w:rPr>
                    <w:rFonts w:ascii="Arial" w:eastAsia="PMingLiU" w:hAnsi="Arial" w:cs="Arial"/>
                    <w:color w:val="auto"/>
                    <w:sz w:val="18"/>
                    <w:szCs w:val="18"/>
                    <w:lang w:val="de-DE"/>
                  </w:rPr>
                  <w:t xml:space="preserve">2x </w:t>
                </w:r>
                <w:r w:rsidR="009C3D1B" w:rsidRPr="009423D9">
                  <w:rPr>
                    <w:rFonts w:ascii="Arial" w:eastAsia="PMingLiU" w:hAnsi="Arial" w:cs="Arial"/>
                    <w:color w:val="auto"/>
                    <w:sz w:val="18"/>
                    <w:szCs w:val="18"/>
                    <w:lang w:val="de-DE"/>
                  </w:rPr>
                  <w:t>Thermosicherung</w:t>
                </w:r>
                <w:r w:rsidRPr="009423D9">
                  <w:rPr>
                    <w:rFonts w:ascii="Arial" w:eastAsia="PMingLiU" w:hAnsi="Arial" w:cs="Arial"/>
                    <w:color w:val="auto"/>
                    <w:sz w:val="18"/>
                    <w:szCs w:val="18"/>
                    <w:lang w:val="de-DE"/>
                  </w:rPr>
                  <w:t>, 2x Kondensatoren</w:t>
                </w:r>
              </w:p>
            </w:tc>
          </w:tr>
        </w:tbl>
        <w:p w14:paraId="43BA3FDF" w14:textId="77777777" w:rsidR="002307C0" w:rsidRPr="00DC270E" w:rsidRDefault="00994A23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994A23">
      <w:headerReference w:type="default" r:id="rId11"/>
      <w:footerReference w:type="default" r:id="rId12"/>
      <w:type w:val="continuous"/>
      <w:pgSz w:w="11906" w:h="16838"/>
      <w:pgMar w:top="144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FEECF" w14:textId="77777777" w:rsidR="00E44C85" w:rsidRDefault="00E44C85" w:rsidP="0051148C">
      <w:r>
        <w:separator/>
      </w:r>
    </w:p>
  </w:endnote>
  <w:endnote w:type="continuationSeparator" w:id="0">
    <w:p w14:paraId="5E264911" w14:textId="77777777" w:rsidR="00E44C85" w:rsidRDefault="00E44C85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A7337" w14:textId="77777777" w:rsidR="00B7104D" w:rsidRDefault="00B7104D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9D3D3B0" wp14:editId="6E6CCECB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600950124" name="Slika 390070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22C724" w14:textId="77777777" w:rsidR="00504AFD" w:rsidRPr="00781CCF" w:rsidRDefault="00504AFD" w:rsidP="0036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8F48A" w14:textId="77777777" w:rsidR="00181C3C" w:rsidRDefault="00181C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B104A" w14:textId="77777777" w:rsidR="00E44C85" w:rsidRDefault="00E44C85" w:rsidP="0051148C">
      <w:r>
        <w:separator/>
      </w:r>
    </w:p>
  </w:footnote>
  <w:footnote w:type="continuationSeparator" w:id="0">
    <w:p w14:paraId="18450345" w14:textId="77777777" w:rsidR="00E44C85" w:rsidRDefault="00E44C85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C1BC2" w14:textId="77777777" w:rsidR="00504AFD" w:rsidRDefault="00B7104D" w:rsidP="000E6D9A">
    <w:pPr>
      <w:pStyle w:val="Kopfzeil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4102400E" wp14:editId="0E602764">
          <wp:simplePos x="0" y="0"/>
          <wp:positionH relativeFrom="column">
            <wp:posOffset>-1118238</wp:posOffset>
          </wp:positionH>
          <wp:positionV relativeFrom="paragraph">
            <wp:posOffset>-131445</wp:posOffset>
          </wp:positionV>
          <wp:extent cx="7562088" cy="724435"/>
          <wp:effectExtent l="0" t="0" r="0" b="0"/>
          <wp:wrapSquare wrapText="bothSides"/>
          <wp:docPr id="73428651" name="Slika 1416104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D44F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867449753">
    <w:abstractNumId w:val="40"/>
  </w:num>
  <w:num w:numId="2" w16cid:durableId="1519854425">
    <w:abstractNumId w:val="43"/>
  </w:num>
  <w:num w:numId="3" w16cid:durableId="1625111728">
    <w:abstractNumId w:val="29"/>
  </w:num>
  <w:num w:numId="4" w16cid:durableId="1655524963">
    <w:abstractNumId w:val="15"/>
  </w:num>
  <w:num w:numId="5" w16cid:durableId="775714096">
    <w:abstractNumId w:val="32"/>
  </w:num>
  <w:num w:numId="6" w16cid:durableId="181943716">
    <w:abstractNumId w:val="0"/>
  </w:num>
  <w:num w:numId="7" w16cid:durableId="1213692573">
    <w:abstractNumId w:val="25"/>
  </w:num>
  <w:num w:numId="8" w16cid:durableId="2039966507">
    <w:abstractNumId w:val="20"/>
  </w:num>
  <w:num w:numId="9" w16cid:durableId="1897811304">
    <w:abstractNumId w:val="34"/>
  </w:num>
  <w:num w:numId="10" w16cid:durableId="1884634012">
    <w:abstractNumId w:val="21"/>
  </w:num>
  <w:num w:numId="11" w16cid:durableId="2069766678">
    <w:abstractNumId w:val="27"/>
  </w:num>
  <w:num w:numId="12" w16cid:durableId="470371098">
    <w:abstractNumId w:val="2"/>
  </w:num>
  <w:num w:numId="13" w16cid:durableId="674459294">
    <w:abstractNumId w:val="48"/>
  </w:num>
  <w:num w:numId="14" w16cid:durableId="1464498107">
    <w:abstractNumId w:val="26"/>
  </w:num>
  <w:num w:numId="15" w16cid:durableId="1538423546">
    <w:abstractNumId w:val="12"/>
  </w:num>
  <w:num w:numId="16" w16cid:durableId="312878878">
    <w:abstractNumId w:val="46"/>
  </w:num>
  <w:num w:numId="17" w16cid:durableId="1995140024">
    <w:abstractNumId w:val="28"/>
  </w:num>
  <w:num w:numId="18" w16cid:durableId="549801289">
    <w:abstractNumId w:val="16"/>
  </w:num>
  <w:num w:numId="19" w16cid:durableId="92479157">
    <w:abstractNumId w:val="22"/>
  </w:num>
  <w:num w:numId="20" w16cid:durableId="597370600">
    <w:abstractNumId w:val="45"/>
  </w:num>
  <w:num w:numId="21" w16cid:durableId="1173685333">
    <w:abstractNumId w:val="1"/>
  </w:num>
  <w:num w:numId="22" w16cid:durableId="1443065384">
    <w:abstractNumId w:val="35"/>
  </w:num>
  <w:num w:numId="23" w16cid:durableId="1760524109">
    <w:abstractNumId w:val="11"/>
  </w:num>
  <w:num w:numId="24" w16cid:durableId="621688139">
    <w:abstractNumId w:val="30"/>
  </w:num>
  <w:num w:numId="25" w16cid:durableId="2037267559">
    <w:abstractNumId w:val="18"/>
  </w:num>
  <w:num w:numId="26" w16cid:durableId="2028367502">
    <w:abstractNumId w:val="33"/>
  </w:num>
  <w:num w:numId="27" w16cid:durableId="1713923903">
    <w:abstractNumId w:val="37"/>
  </w:num>
  <w:num w:numId="28" w16cid:durableId="2033871667">
    <w:abstractNumId w:val="14"/>
  </w:num>
  <w:num w:numId="29" w16cid:durableId="857818344">
    <w:abstractNumId w:val="5"/>
  </w:num>
  <w:num w:numId="30" w16cid:durableId="1931355933">
    <w:abstractNumId w:val="39"/>
  </w:num>
  <w:num w:numId="31" w16cid:durableId="1973246020">
    <w:abstractNumId w:val="42"/>
  </w:num>
  <w:num w:numId="32" w16cid:durableId="2039234763">
    <w:abstractNumId w:val="19"/>
  </w:num>
  <w:num w:numId="33" w16cid:durableId="684942704">
    <w:abstractNumId w:val="6"/>
  </w:num>
  <w:num w:numId="34" w16cid:durableId="146867606">
    <w:abstractNumId w:val="41"/>
  </w:num>
  <w:num w:numId="35" w16cid:durableId="1107388351">
    <w:abstractNumId w:val="13"/>
  </w:num>
  <w:num w:numId="36" w16cid:durableId="1597975688">
    <w:abstractNumId w:val="23"/>
  </w:num>
  <w:num w:numId="37" w16cid:durableId="647782255">
    <w:abstractNumId w:val="24"/>
  </w:num>
  <w:num w:numId="38" w16cid:durableId="135220579">
    <w:abstractNumId w:val="38"/>
  </w:num>
  <w:num w:numId="39" w16cid:durableId="955407754">
    <w:abstractNumId w:val="36"/>
  </w:num>
  <w:num w:numId="40" w16cid:durableId="1211305456">
    <w:abstractNumId w:val="4"/>
  </w:num>
  <w:num w:numId="41" w16cid:durableId="1710179268">
    <w:abstractNumId w:val="10"/>
  </w:num>
  <w:num w:numId="42" w16cid:durableId="2048486117">
    <w:abstractNumId w:val="3"/>
  </w:num>
  <w:num w:numId="43" w16cid:durableId="2109883461">
    <w:abstractNumId w:val="7"/>
  </w:num>
  <w:num w:numId="44" w16cid:durableId="440223698">
    <w:abstractNumId w:val="44"/>
  </w:num>
  <w:num w:numId="45" w16cid:durableId="529144602">
    <w:abstractNumId w:val="17"/>
  </w:num>
  <w:num w:numId="46" w16cid:durableId="2089229642">
    <w:abstractNumId w:val="31"/>
  </w:num>
  <w:num w:numId="47" w16cid:durableId="907956758">
    <w:abstractNumId w:val="9"/>
  </w:num>
  <w:num w:numId="48" w16cid:durableId="1019164205">
    <w:abstractNumId w:val="8"/>
  </w:num>
  <w:num w:numId="49" w16cid:durableId="518206141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C55D0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5767E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D1DCA"/>
    <w:rsid w:val="003E2B66"/>
    <w:rsid w:val="003E51EE"/>
    <w:rsid w:val="003F2E65"/>
    <w:rsid w:val="00400B3F"/>
    <w:rsid w:val="00423E78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2514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12D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23D9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A2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035"/>
    <w:rsid w:val="00AE6DAD"/>
    <w:rsid w:val="00AF1D8A"/>
    <w:rsid w:val="00AF4260"/>
    <w:rsid w:val="00AF6CFE"/>
    <w:rsid w:val="00B02EF3"/>
    <w:rsid w:val="00B076EA"/>
    <w:rsid w:val="00B27A64"/>
    <w:rsid w:val="00B360F7"/>
    <w:rsid w:val="00B36DE3"/>
    <w:rsid w:val="00B4719B"/>
    <w:rsid w:val="00B506CB"/>
    <w:rsid w:val="00B65D29"/>
    <w:rsid w:val="00B7104D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4C85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7355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RGS6FT/EN           A&amp;I Spezifikation</vt:lpstr>
      <vt:lpstr>MWC6T/EN           A&amp;I Spezifikation</vt:lpstr>
      <vt:lpstr>BOUTIQUE           A&amp;E Specification</vt:lpstr>
    </vt:vector>
  </TitlesOfParts>
  <Company>Toshiba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RGS6FT/EN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2025-03-13T12:43:00Z</dcterms:created>
  <dcterms:modified xsi:type="dcterms:W3CDTF">2025-03-13T12:43:00Z</dcterms:modified>
</cp:coreProperties>
</file>